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大庆市三星机械制造有限公司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ISC-2023-1619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2025-05-31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2025-05-31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2025-11-30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2025-06-03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大庆市三星机械制造有限公司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黑龙江省大庆市高新区宏伟园区孵化器3号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黑龙江省大庆市高新区宏伟园区孵化器3号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工业清洗服务、管线的清洗服务，锅炉物理清洗服务、化工生产专用设备的维修和销售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36964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645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